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2608D" w14:textId="77777777" w:rsidR="0088643A" w:rsidRPr="00B82693" w:rsidRDefault="0088643A" w:rsidP="00671B20">
      <w:pPr>
        <w:spacing w:line="0" w:lineRule="atLeast"/>
        <w:jc w:val="center"/>
        <w:rPr>
          <w:rFonts w:ascii="標楷體" w:eastAsia="標楷體" w:hAnsi="標楷體" w:cs="Arial Unicode MS"/>
          <w:b/>
          <w:sz w:val="36"/>
          <w:szCs w:val="36"/>
        </w:rPr>
      </w:pPr>
      <w:r w:rsidRPr="00B82693">
        <w:rPr>
          <w:rFonts w:ascii="標楷體" w:eastAsia="標楷體" w:hAnsi="標楷體" w:cs="Arial Unicode MS"/>
          <w:b/>
          <w:sz w:val="36"/>
          <w:szCs w:val="36"/>
        </w:rPr>
        <w:t>供應商社會責任承諾書</w:t>
      </w:r>
    </w:p>
    <w:p w14:paraId="5ADEFA9B" w14:textId="77777777" w:rsidR="0088643A" w:rsidRPr="00B82693" w:rsidRDefault="0088643A" w:rsidP="00671B20">
      <w:pPr>
        <w:spacing w:line="0" w:lineRule="atLeast"/>
        <w:jc w:val="center"/>
        <w:rPr>
          <w:rFonts w:ascii="標楷體" w:eastAsia="標楷體" w:hAnsi="標楷體" w:cs="Arial Unicode MS"/>
        </w:rPr>
      </w:pPr>
    </w:p>
    <w:p w14:paraId="3740F00A" w14:textId="77777777" w:rsidR="0088643A" w:rsidRPr="00B82693" w:rsidRDefault="0088643A" w:rsidP="00B82693">
      <w:pPr>
        <w:spacing w:line="0" w:lineRule="atLeast"/>
        <w:ind w:firstLineChars="200" w:firstLine="480"/>
        <w:rPr>
          <w:rFonts w:ascii="標楷體" w:eastAsia="標楷體" w:hAnsi="標楷體" w:cs="Arial Unicode MS"/>
        </w:rPr>
      </w:pPr>
      <w:r w:rsidRPr="00B82693">
        <w:rPr>
          <w:rFonts w:ascii="標楷體" w:eastAsia="標楷體" w:hAnsi="標楷體" w:cs="Arial Unicode MS" w:hint="eastAsia"/>
          <w:lang w:eastAsia="zh-HK"/>
        </w:rPr>
        <w:t>台灣大車隊集團</w:t>
      </w:r>
      <w:r w:rsidRPr="00B82693">
        <w:rPr>
          <w:rFonts w:ascii="標楷體" w:eastAsia="標楷體" w:hAnsi="標楷體" w:cs="Arial Unicode MS"/>
        </w:rPr>
        <w:t>一直以來秉持「</w:t>
      </w:r>
      <w:r w:rsidRPr="00B82693">
        <w:rPr>
          <w:rFonts w:ascii="標楷體" w:eastAsia="標楷體" w:hAnsi="標楷體" w:cs="Arial Unicode MS" w:hint="eastAsia"/>
          <w:lang w:eastAsia="zh-HK"/>
        </w:rPr>
        <w:t>誠信、創新、專業、便利、</w:t>
      </w:r>
      <w:proofErr w:type="gramStart"/>
      <w:r w:rsidRPr="00B82693">
        <w:rPr>
          <w:rFonts w:ascii="標楷體" w:eastAsia="標楷體" w:hAnsi="標楷體" w:cs="Arial Unicode MS" w:hint="eastAsia"/>
          <w:lang w:eastAsia="zh-HK"/>
        </w:rPr>
        <w:t>共好</w:t>
      </w:r>
      <w:proofErr w:type="gramEnd"/>
      <w:r w:rsidRPr="00B82693">
        <w:rPr>
          <w:rFonts w:ascii="標楷體" w:eastAsia="標楷體" w:hAnsi="標楷體" w:cs="Arial Unicode MS" w:hint="eastAsia"/>
          <w:lang w:eastAsia="zh-HK"/>
        </w:rPr>
        <w:t>、永續</w:t>
      </w:r>
      <w:r w:rsidRPr="00B82693">
        <w:rPr>
          <w:rFonts w:ascii="標楷體" w:eastAsia="標楷體" w:hAnsi="標楷體" w:cs="Arial Unicode MS"/>
        </w:rPr>
        <w:t>」的原則，並遵循勞工權益與人權、勞工健康與安全、環境保護及誠信經營道德規範等相關條款與承諾，凡事追求積極、主動、迅速、精益求精，以善盡企業之社會責任。</w:t>
      </w:r>
    </w:p>
    <w:p w14:paraId="3835BB1E" w14:textId="77777777" w:rsidR="004D7503" w:rsidRDefault="0088643A" w:rsidP="00B82693">
      <w:pPr>
        <w:spacing w:line="0" w:lineRule="atLeast"/>
        <w:ind w:firstLineChars="200" w:firstLine="480"/>
        <w:rPr>
          <w:rFonts w:ascii="標楷體" w:eastAsia="標楷體" w:hAnsi="標楷體" w:cs="Arial Unicode MS"/>
        </w:rPr>
      </w:pPr>
      <w:r w:rsidRPr="00B82693">
        <w:rPr>
          <w:rFonts w:ascii="標楷體" w:eastAsia="標楷體" w:hAnsi="標楷體" w:cs="Arial Unicode MS"/>
        </w:rPr>
        <w:t>我們希望供應商與我們</w:t>
      </w:r>
      <w:r w:rsidRPr="00B82693">
        <w:rPr>
          <w:rFonts w:ascii="標楷體" w:eastAsia="標楷體" w:hAnsi="標楷體" w:cs="Arial Unicode MS" w:hint="eastAsia"/>
          <w:lang w:eastAsia="zh-HK"/>
        </w:rPr>
        <w:t>有</w:t>
      </w:r>
      <w:r w:rsidRPr="00B82693">
        <w:rPr>
          <w:rFonts w:ascii="標楷體" w:eastAsia="標楷體" w:hAnsi="標楷體" w:cs="Arial Unicode MS"/>
        </w:rPr>
        <w:t>一致</w:t>
      </w:r>
      <w:r w:rsidRPr="00B82693">
        <w:rPr>
          <w:rFonts w:ascii="標楷體" w:eastAsia="標楷體" w:hAnsi="標楷體" w:cs="Arial Unicode MS" w:hint="eastAsia"/>
          <w:lang w:eastAsia="zh-HK"/>
        </w:rPr>
        <w:t>的價值</w:t>
      </w:r>
      <w:r w:rsidRPr="00B82693">
        <w:rPr>
          <w:rFonts w:ascii="標楷體" w:eastAsia="標楷體" w:hAnsi="標楷體" w:cs="Arial Unicode MS"/>
        </w:rPr>
        <w:t xml:space="preserve">，在服務的過程中遵從社會道德標準、並遵循法律、積極應對環境保護與社會相關議題，勇於承擔責任並持續改善與提升。 </w:t>
      </w:r>
    </w:p>
    <w:p w14:paraId="51458068" w14:textId="7B108CE8" w:rsidR="0088643A" w:rsidRPr="00B82693" w:rsidRDefault="0088643A" w:rsidP="00B82693">
      <w:pPr>
        <w:spacing w:line="0" w:lineRule="atLeast"/>
        <w:ind w:firstLineChars="200" w:firstLine="480"/>
        <w:rPr>
          <w:rFonts w:ascii="標楷體" w:eastAsia="標楷體" w:hAnsi="標楷體" w:cs="Arial Unicode MS"/>
        </w:rPr>
      </w:pPr>
      <w:r w:rsidRPr="00B82693">
        <w:rPr>
          <w:rFonts w:ascii="標楷體" w:eastAsia="標楷體" w:hAnsi="標楷體" w:cs="Arial Unicode MS"/>
        </w:rPr>
        <w:t>供應商對本承諾書之回覆與遵守情況</w:t>
      </w:r>
      <w:r w:rsidRPr="004D7503">
        <w:rPr>
          <w:rFonts w:ascii="標楷體" w:eastAsia="標楷體" w:hAnsi="標楷體" w:cs="Arial Unicode MS"/>
        </w:rPr>
        <w:t>將是</w:t>
      </w:r>
      <w:r w:rsidR="003C7A00" w:rsidRPr="003C7A00">
        <w:rPr>
          <w:rFonts w:ascii="標楷體" w:eastAsia="標楷體" w:hAnsi="標楷體" w:cs="Arial Unicode MS" w:hint="eastAsia"/>
          <w:lang w:eastAsia="zh-HK"/>
        </w:rPr>
        <w:t>台灣智慧生活網</w:t>
      </w:r>
      <w:r w:rsidRPr="004D7503">
        <w:rPr>
          <w:rFonts w:ascii="標楷體" w:eastAsia="標楷體" w:hAnsi="標楷體" w:cs="Arial Unicode MS"/>
        </w:rPr>
        <w:t>股份有限公司制定</w:t>
      </w:r>
      <w:r w:rsidRPr="00B82693">
        <w:rPr>
          <w:rFonts w:ascii="標楷體" w:eastAsia="標楷體" w:hAnsi="標楷體" w:cs="Arial Unicode MS"/>
        </w:rPr>
        <w:t>採購策略之考量依據。</w:t>
      </w:r>
    </w:p>
    <w:p w14:paraId="725BE846" w14:textId="77777777" w:rsidR="0088643A" w:rsidRPr="00B82693" w:rsidRDefault="0088643A" w:rsidP="00671B20">
      <w:pPr>
        <w:pStyle w:val="a3"/>
        <w:numPr>
          <w:ilvl w:val="0"/>
          <w:numId w:val="1"/>
        </w:numPr>
        <w:spacing w:before="240" w:line="0" w:lineRule="atLeast"/>
        <w:ind w:leftChars="0"/>
        <w:rPr>
          <w:rFonts w:ascii="標楷體" w:eastAsia="標楷體" w:hAnsi="標楷體" w:cs="Arial Unicode MS"/>
        </w:rPr>
      </w:pPr>
      <w:r w:rsidRPr="00B82693">
        <w:rPr>
          <w:rFonts w:ascii="標楷體" w:eastAsia="標楷體" w:hAnsi="標楷體" w:cs="Arial Unicode MS"/>
        </w:rPr>
        <w:t>環境保護</w:t>
      </w:r>
    </w:p>
    <w:p w14:paraId="4AEAC51B"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環境許可證和報告</w:t>
      </w:r>
    </w:p>
    <w:p w14:paraId="2B988A6E"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t>應獲取所有必需的環境許可證（如排放監控）、批准和登記文件，並進行維護且時常更新，以及遵守許可證的操作和報告要求。</w:t>
      </w:r>
    </w:p>
    <w:p w14:paraId="16036DD6"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預防</w:t>
      </w:r>
      <w:r w:rsidRPr="00B82693">
        <w:rPr>
          <w:rFonts w:ascii="標楷體" w:eastAsia="標楷體" w:hAnsi="標楷體" w:cs="Arial Unicode MS" w:hint="eastAsia"/>
        </w:rPr>
        <w:t>污染和節約資源</w:t>
      </w:r>
    </w:p>
    <w:p w14:paraId="1C997659"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t>應在源頭或透過實踐</w:t>
      </w:r>
      <w:proofErr w:type="gramStart"/>
      <w:r w:rsidRPr="00B82693">
        <w:rPr>
          <w:rFonts w:ascii="標楷體" w:eastAsia="標楷體" w:hAnsi="標楷體" w:cs="Arial Unicode MS"/>
        </w:rPr>
        <w:t>（</w:t>
      </w:r>
      <w:proofErr w:type="gramEnd"/>
      <w:r w:rsidRPr="00B82693">
        <w:rPr>
          <w:rFonts w:ascii="標楷體" w:eastAsia="標楷體" w:hAnsi="標楷體" w:cs="Arial Unicode MS"/>
        </w:rPr>
        <w:t>如增設</w:t>
      </w:r>
      <w:r w:rsidRPr="00B82693">
        <w:rPr>
          <w:rFonts w:ascii="標楷體" w:eastAsia="標楷體" w:hAnsi="標楷體" w:cs="Arial Unicode MS" w:hint="eastAsia"/>
        </w:rPr>
        <w:t>污染控制設備；改良生產、維修和設施程序；或其他方法</w:t>
      </w:r>
      <w:proofErr w:type="gramStart"/>
      <w:r w:rsidRPr="00B82693">
        <w:rPr>
          <w:rFonts w:ascii="標楷體" w:eastAsia="標楷體" w:hAnsi="標楷體" w:cs="Arial Unicode MS" w:hint="eastAsia"/>
        </w:rPr>
        <w:t>）</w:t>
      </w:r>
      <w:proofErr w:type="gramEnd"/>
      <w:r w:rsidRPr="00B82693">
        <w:rPr>
          <w:rFonts w:ascii="標楷體" w:eastAsia="標楷體" w:hAnsi="標楷體" w:cs="Arial Unicode MS" w:hint="eastAsia"/>
        </w:rPr>
        <w:t>盡量減少排出或杜絕排放污染物以及產生廢物。應節約或透過實踐（如改良生產、維修和設施程序、替換材料、節約、回收、再使用或其他方法）節約自然資源（包括水、化石燃料、礦物和原始森林產品）的耗費。</w:t>
      </w:r>
      <w:r w:rsidRPr="00B82693">
        <w:rPr>
          <w:rFonts w:ascii="標楷體" w:eastAsia="標楷體" w:hAnsi="標楷體" w:cs="Arial Unicode MS"/>
        </w:rPr>
        <w:t xml:space="preserve"> </w:t>
      </w:r>
    </w:p>
    <w:p w14:paraId="465DF25F"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有害物質</w:t>
      </w:r>
    </w:p>
    <w:p w14:paraId="1D280FA3"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t xml:space="preserve">應當識別、標籤和管理對人類或環境造成危害的化學物質及其他物質，從而確保這些物質得以安全地處理，包含生產，運送、儲存、使用、回收、廢棄或再使用及棄置。 </w:t>
      </w:r>
    </w:p>
    <w:p w14:paraId="24ECB3FD"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hint="eastAsia"/>
        </w:rPr>
        <w:t>污水、無害固體廢棄物及噪音</w:t>
      </w:r>
    </w:p>
    <w:p w14:paraId="27C1A73C"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t>必須建立系統性的管理措施來識別、管理、減少</w:t>
      </w:r>
      <w:r w:rsidRPr="00B82693">
        <w:rPr>
          <w:rFonts w:ascii="標楷體" w:eastAsia="標楷體" w:hAnsi="標楷體" w:cs="Arial Unicode MS" w:hint="eastAsia"/>
        </w:rPr>
        <w:t>污水、無害固體廢棄物及噪音。負責任地棄置或回收因營運、製造程序及衛生設施所產生的污水和無害固體廢棄物。</w:t>
      </w:r>
      <w:r w:rsidRPr="00B82693">
        <w:rPr>
          <w:rFonts w:ascii="標楷體" w:eastAsia="標楷體" w:hAnsi="標楷體" w:cs="Arial Unicode MS"/>
        </w:rPr>
        <w:t xml:space="preserve"> </w:t>
      </w:r>
    </w:p>
    <w:p w14:paraId="4B3976B9"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 xml:space="preserve">廢氣排放 </w:t>
      </w:r>
    </w:p>
    <w:p w14:paraId="768C6D72"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t>在排放營運過程中產生的揮發性有機化學物質、</w:t>
      </w:r>
      <w:proofErr w:type="gramStart"/>
      <w:r w:rsidRPr="00B82693">
        <w:rPr>
          <w:rFonts w:ascii="標楷體" w:eastAsia="標楷體" w:hAnsi="標楷體" w:cs="Arial Unicode MS"/>
        </w:rPr>
        <w:t>氣霧劑</w:t>
      </w:r>
      <w:proofErr w:type="gramEnd"/>
      <w:r w:rsidRPr="00B82693">
        <w:rPr>
          <w:rFonts w:ascii="標楷體" w:eastAsia="標楷體" w:hAnsi="標楷體" w:cs="Arial Unicode MS"/>
        </w:rPr>
        <w:t>、腐蝕性物質、微粒、耗蝕臭氧層化學物品以及燃燒副產品前，應當按照要求對其進行分類、例行監視、控制和處理。供應商也應當對廢氣排放管制系統的性能進行例行監視。</w:t>
      </w:r>
    </w:p>
    <w:p w14:paraId="044FB13E"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材料控制</w:t>
      </w:r>
    </w:p>
    <w:p w14:paraId="004F50B3"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t>供應商應當遵守所有適用法律法規和本公司的要求，禁止或限制在產品和製造過程中納入特定之物質（包括回收和棄置標籤）。</w:t>
      </w:r>
    </w:p>
    <w:p w14:paraId="7DD786D7"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 xml:space="preserve">水資源管理 </w:t>
      </w:r>
    </w:p>
    <w:p w14:paraId="505CDF91"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t>供應商應當實施水管理計劃，以記錄、分類和監視水資源、使用和排放；尋求機會節約用水；以及控制</w:t>
      </w:r>
      <w:r w:rsidRPr="00B82693">
        <w:rPr>
          <w:rFonts w:ascii="標楷體" w:eastAsia="標楷體" w:hAnsi="標楷體" w:cs="Arial Unicode MS" w:hint="eastAsia"/>
        </w:rPr>
        <w:t>污染渠道。所有污水在排放或棄置前，應當按照要求對其進行分類、監視、控制和處理。供應商應當對污水處理和控制系統的性能進行例行監視</w:t>
      </w:r>
      <w:r w:rsidRPr="00B82693">
        <w:rPr>
          <w:rFonts w:ascii="標楷體" w:eastAsia="標楷體" w:hAnsi="標楷體" w:cs="Arial Unicode MS"/>
        </w:rPr>
        <w:t xml:space="preserve"> 以確保達致最佳性能和符合法規要求。 </w:t>
      </w:r>
    </w:p>
    <w:p w14:paraId="15F99079"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能、資源消耗及溫室氣體排放</w:t>
      </w:r>
    </w:p>
    <w:p w14:paraId="222840C9"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t xml:space="preserve">應當追蹤及記錄工作場所內或企業層面的能、資源消耗和溫室氣體排放，並尋求具成本效益的方法來改善能、資源利用效率和盡量減少能、資源消耗和溫室氣體排放。 </w:t>
      </w:r>
    </w:p>
    <w:p w14:paraId="7D4A15CA" w14:textId="77777777" w:rsidR="0088643A" w:rsidRPr="00B82693" w:rsidRDefault="0088643A" w:rsidP="00671B20">
      <w:pPr>
        <w:pStyle w:val="a3"/>
        <w:numPr>
          <w:ilvl w:val="0"/>
          <w:numId w:val="3"/>
        </w:numPr>
        <w:tabs>
          <w:tab w:val="left" w:pos="567"/>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 xml:space="preserve">無衝突礦產聲明 </w:t>
      </w:r>
    </w:p>
    <w:p w14:paraId="1E32DE1F" w14:textId="77777777" w:rsidR="0088643A" w:rsidRPr="00B82693" w:rsidRDefault="0088643A" w:rsidP="00671B20">
      <w:pPr>
        <w:spacing w:line="0" w:lineRule="atLeast"/>
        <w:ind w:leftChars="236" w:left="566"/>
        <w:rPr>
          <w:rFonts w:ascii="標楷體" w:eastAsia="標楷體" w:hAnsi="標楷體" w:cs="Arial Unicode MS"/>
        </w:rPr>
      </w:pPr>
      <w:r w:rsidRPr="00B82693">
        <w:rPr>
          <w:rFonts w:ascii="標楷體" w:eastAsia="標楷體" w:hAnsi="標楷體" w:cs="Arial Unicode MS"/>
        </w:rPr>
        <w:lastRenderedPageBreak/>
        <w:t>衝突礦產，是指金（Au），</w:t>
      </w:r>
      <w:r w:rsidRPr="00B82693">
        <w:rPr>
          <w:rFonts w:ascii="標楷體" w:eastAsia="標楷體" w:hAnsi="標楷體" w:cs="Arial Unicode MS" w:hint="eastAsia"/>
        </w:rPr>
        <w:t>鉭（</w:t>
      </w:r>
      <w:r w:rsidRPr="00B82693">
        <w:rPr>
          <w:rFonts w:ascii="標楷體" w:eastAsia="標楷體" w:hAnsi="標楷體" w:cs="Arial Unicode MS"/>
        </w:rPr>
        <w:t>Ta），</w:t>
      </w:r>
      <w:r w:rsidRPr="00B82693">
        <w:rPr>
          <w:rFonts w:ascii="標楷體" w:eastAsia="標楷體" w:hAnsi="標楷體" w:cs="Arial Unicode MS" w:hint="eastAsia"/>
        </w:rPr>
        <w:t>鎢（</w:t>
      </w:r>
      <w:r w:rsidRPr="00B82693">
        <w:rPr>
          <w:rFonts w:ascii="標楷體" w:eastAsia="標楷體" w:hAnsi="標楷體" w:cs="Arial Unicode MS"/>
        </w:rPr>
        <w:t>W）、錫（Sn）和</w:t>
      </w:r>
      <w:proofErr w:type="gramStart"/>
      <w:r w:rsidRPr="00B82693">
        <w:rPr>
          <w:rFonts w:ascii="標楷體" w:eastAsia="標楷體" w:hAnsi="標楷體" w:cs="Arial Unicode MS"/>
        </w:rPr>
        <w:t>鈷（</w:t>
      </w:r>
      <w:proofErr w:type="gramEnd"/>
      <w:r w:rsidRPr="00B82693">
        <w:rPr>
          <w:rFonts w:ascii="標楷體" w:eastAsia="標楷體" w:hAnsi="標楷體" w:cs="Arial Unicode MS"/>
        </w:rPr>
        <w:t xml:space="preserve">Co）等金屬，來自於剛果民主共和國非政府軍事團體或非法軍事派別所控制衝突地區的礦區或受衝突影響與高風險地區。當地軍事團體取得的非法採礦利潤是從公民中盜竊得來的，而且在剛果民主共和國東部造成侵犯人權，環境惡化。 </w:t>
      </w:r>
    </w:p>
    <w:p w14:paraId="208008EE" w14:textId="77777777" w:rsidR="0088643A" w:rsidRPr="00B82693" w:rsidRDefault="0088643A" w:rsidP="00671B20">
      <w:pPr>
        <w:pStyle w:val="a3"/>
        <w:numPr>
          <w:ilvl w:val="0"/>
          <w:numId w:val="3"/>
        </w:numPr>
        <w:tabs>
          <w:tab w:val="left" w:pos="709"/>
        </w:tabs>
        <w:spacing w:line="0" w:lineRule="atLeast"/>
        <w:ind w:leftChars="0" w:left="284" w:firstLine="0"/>
        <w:rPr>
          <w:rFonts w:ascii="標楷體" w:eastAsia="標楷體" w:hAnsi="標楷體" w:cs="Arial Unicode MS"/>
        </w:rPr>
      </w:pPr>
      <w:r w:rsidRPr="00B82693">
        <w:rPr>
          <w:rFonts w:ascii="標楷體" w:eastAsia="標楷體" w:hAnsi="標楷體" w:cs="Arial Unicode MS"/>
        </w:rPr>
        <w:t>綠色產品</w:t>
      </w:r>
    </w:p>
    <w:p w14:paraId="6AE358BE" w14:textId="77777777" w:rsidR="0088643A" w:rsidRPr="00B82693" w:rsidRDefault="0088643A" w:rsidP="00671B20">
      <w:pPr>
        <w:spacing w:line="0" w:lineRule="atLeast"/>
        <w:ind w:leftChars="295" w:left="708"/>
        <w:rPr>
          <w:rFonts w:ascii="標楷體" w:eastAsia="標楷體" w:hAnsi="標楷體" w:cs="Arial Unicode MS"/>
        </w:rPr>
      </w:pPr>
      <w:r w:rsidRPr="00B82693">
        <w:rPr>
          <w:rFonts w:ascii="標楷體" w:eastAsia="標楷體" w:hAnsi="標楷體" w:cs="Arial Unicode MS"/>
        </w:rPr>
        <w:t>為減少電子廢棄物對生態環境的影響，應使用綠色產品，以減少</w:t>
      </w:r>
      <w:r w:rsidRPr="00B82693">
        <w:rPr>
          <w:rFonts w:ascii="標楷體" w:eastAsia="標楷體" w:hAnsi="標楷體" w:cs="Arial Unicode MS" w:hint="eastAsia"/>
        </w:rPr>
        <w:t>污染物排放，提供不含危害物質且</w:t>
      </w:r>
      <w:proofErr w:type="gramStart"/>
      <w:r w:rsidRPr="00B82693">
        <w:rPr>
          <w:rFonts w:ascii="標楷體" w:eastAsia="標楷體" w:hAnsi="標楷體" w:cs="Arial Unicode MS" w:hint="eastAsia"/>
        </w:rPr>
        <w:t>滿意的</w:t>
      </w:r>
      <w:proofErr w:type="gramEnd"/>
      <w:r w:rsidRPr="00B82693">
        <w:rPr>
          <w:rFonts w:ascii="標楷體" w:eastAsia="標楷體" w:hAnsi="標楷體" w:cs="Arial Unicode MS" w:hint="eastAsia"/>
        </w:rPr>
        <w:t>產品。</w:t>
      </w:r>
      <w:r w:rsidRPr="00B82693">
        <w:rPr>
          <w:rFonts w:ascii="標楷體" w:eastAsia="標楷體" w:hAnsi="標楷體" w:cs="Arial Unicode MS"/>
        </w:rPr>
        <w:t xml:space="preserve"> </w:t>
      </w:r>
    </w:p>
    <w:p w14:paraId="2ED05966" w14:textId="77777777" w:rsidR="0088643A" w:rsidRPr="00B82693" w:rsidRDefault="0088643A" w:rsidP="00671B20">
      <w:pPr>
        <w:pStyle w:val="a3"/>
        <w:numPr>
          <w:ilvl w:val="0"/>
          <w:numId w:val="1"/>
        </w:numPr>
        <w:spacing w:before="240" w:line="0" w:lineRule="atLeast"/>
        <w:ind w:leftChars="0"/>
        <w:rPr>
          <w:rFonts w:ascii="標楷體" w:eastAsia="標楷體" w:hAnsi="標楷體" w:cs="Arial Unicode MS"/>
        </w:rPr>
      </w:pPr>
      <w:r w:rsidRPr="00B82693">
        <w:rPr>
          <w:rFonts w:ascii="標楷體" w:eastAsia="標楷體" w:hAnsi="標楷體" w:cs="Arial Unicode MS"/>
        </w:rPr>
        <w:t>勞工與人權</w:t>
      </w:r>
    </w:p>
    <w:p w14:paraId="0A0278F2" w14:textId="77777777" w:rsidR="0088643A" w:rsidRPr="00B82693" w:rsidRDefault="0088643A" w:rsidP="00671B20">
      <w:pPr>
        <w:pStyle w:val="a3"/>
        <w:numPr>
          <w:ilvl w:val="0"/>
          <w:numId w:val="7"/>
        </w:numPr>
        <w:tabs>
          <w:tab w:val="left" w:pos="567"/>
        </w:tabs>
        <w:spacing w:line="0" w:lineRule="atLeast"/>
        <w:ind w:leftChars="0" w:left="709" w:hanging="425"/>
        <w:rPr>
          <w:rFonts w:ascii="標楷體" w:eastAsia="標楷體" w:hAnsi="標楷體" w:cs="Arial Unicode MS"/>
        </w:rPr>
      </w:pPr>
      <w:r w:rsidRPr="00B82693">
        <w:rPr>
          <w:rFonts w:ascii="標楷體" w:eastAsia="標楷體" w:hAnsi="標楷體" w:cs="Arial Unicode MS"/>
        </w:rPr>
        <w:t xml:space="preserve">雇用必須自願 </w:t>
      </w:r>
    </w:p>
    <w:p w14:paraId="1BE69C0E" w14:textId="77777777" w:rsidR="0088643A" w:rsidRPr="00B82693" w:rsidRDefault="0088643A" w:rsidP="00671B20">
      <w:pPr>
        <w:spacing w:line="0" w:lineRule="atLeast"/>
        <w:ind w:leftChars="235" w:left="564"/>
        <w:rPr>
          <w:rFonts w:ascii="標楷體" w:eastAsia="標楷體" w:hAnsi="標楷體" w:cs="Arial Unicode MS"/>
        </w:rPr>
      </w:pPr>
      <w:r w:rsidRPr="00B82693">
        <w:rPr>
          <w:rFonts w:ascii="標楷體" w:eastAsia="標楷體" w:hAnsi="標楷體" w:cs="Arial Unicode MS"/>
        </w:rPr>
        <w:t xml:space="preserve">必須確保不強迫員工工作，包括但不限於非自願的加班和監禁或抵債勞動等。 </w:t>
      </w:r>
    </w:p>
    <w:p w14:paraId="78FD8B24" w14:textId="77777777" w:rsidR="0088643A" w:rsidRPr="00B82693" w:rsidRDefault="0088643A" w:rsidP="00671B20">
      <w:pPr>
        <w:pStyle w:val="a3"/>
        <w:numPr>
          <w:ilvl w:val="0"/>
          <w:numId w:val="7"/>
        </w:numPr>
        <w:tabs>
          <w:tab w:val="left" w:pos="567"/>
        </w:tabs>
        <w:spacing w:line="0" w:lineRule="atLeast"/>
        <w:ind w:leftChars="0" w:left="709" w:hanging="425"/>
        <w:rPr>
          <w:rFonts w:ascii="標楷體" w:eastAsia="標楷體" w:hAnsi="標楷體" w:cs="Arial Unicode MS"/>
        </w:rPr>
      </w:pPr>
      <w:r w:rsidRPr="00B82693">
        <w:rPr>
          <w:rFonts w:ascii="標楷體" w:eastAsia="標楷體" w:hAnsi="標楷體" w:cs="Arial Unicode MS"/>
        </w:rPr>
        <w:t xml:space="preserve">禁用童工 </w:t>
      </w:r>
    </w:p>
    <w:p w14:paraId="31CFDDEA" w14:textId="77777777" w:rsidR="0088643A" w:rsidRPr="00B82693" w:rsidRDefault="0088643A" w:rsidP="00671B20">
      <w:pPr>
        <w:spacing w:line="0" w:lineRule="atLeast"/>
        <w:ind w:leftChars="235" w:left="564"/>
        <w:rPr>
          <w:rFonts w:ascii="標楷體" w:eastAsia="標楷體" w:hAnsi="標楷體" w:cs="Arial Unicode MS"/>
        </w:rPr>
      </w:pPr>
      <w:r w:rsidRPr="00B82693">
        <w:rPr>
          <w:rFonts w:ascii="標楷體" w:eastAsia="標楷體" w:hAnsi="標楷體" w:cs="Arial Unicode MS"/>
        </w:rPr>
        <w:t>必須確保所有員工的年齡已達完成義務教育的年齡或當地法律規定的工作年齡(以最高者為</w:t>
      </w:r>
      <w:proofErr w:type="gramStart"/>
      <w:r w:rsidRPr="00B82693">
        <w:rPr>
          <w:rFonts w:ascii="標楷體" w:eastAsia="標楷體" w:hAnsi="標楷體" w:cs="Arial Unicode MS"/>
        </w:rPr>
        <w:t>準</w:t>
      </w:r>
      <w:proofErr w:type="gramEnd"/>
      <w:r w:rsidRPr="00B82693">
        <w:rPr>
          <w:rFonts w:ascii="標楷體" w:eastAsia="標楷體" w:hAnsi="標楷體" w:cs="Arial Unicode MS"/>
        </w:rPr>
        <w:t>)。未滿</w:t>
      </w:r>
      <w:r w:rsidR="00671B20" w:rsidRPr="00B82693">
        <w:rPr>
          <w:rFonts w:ascii="標楷體" w:eastAsia="標楷體" w:hAnsi="標楷體" w:cs="Arial Unicode MS"/>
        </w:rPr>
        <w:t>16</w:t>
      </w:r>
      <w:r w:rsidRPr="00B82693">
        <w:rPr>
          <w:rFonts w:ascii="標楷體" w:eastAsia="標楷體" w:hAnsi="標楷體" w:cs="Arial Unicode MS"/>
        </w:rPr>
        <w:t xml:space="preserve">歲的勞工不得從事可能會危及健康或安全的工作，包括夜間執勤、加班或由當地國家法律規定其他可能存在危害的工作。 </w:t>
      </w:r>
    </w:p>
    <w:p w14:paraId="0E811AF9" w14:textId="77777777" w:rsidR="0088643A" w:rsidRPr="00B82693" w:rsidRDefault="0088643A" w:rsidP="00671B20">
      <w:pPr>
        <w:pStyle w:val="a3"/>
        <w:numPr>
          <w:ilvl w:val="0"/>
          <w:numId w:val="7"/>
        </w:numPr>
        <w:tabs>
          <w:tab w:val="left" w:pos="567"/>
        </w:tabs>
        <w:spacing w:line="0" w:lineRule="atLeast"/>
        <w:ind w:leftChars="0" w:left="709" w:hanging="425"/>
        <w:rPr>
          <w:rFonts w:ascii="標楷體" w:eastAsia="標楷體" w:hAnsi="標楷體" w:cs="Arial Unicode MS"/>
        </w:rPr>
      </w:pPr>
      <w:r w:rsidRPr="00B82693">
        <w:rPr>
          <w:rFonts w:ascii="標楷體" w:eastAsia="標楷體" w:hAnsi="標楷體" w:cs="Arial Unicode MS"/>
        </w:rPr>
        <w:t xml:space="preserve">工資和福利 </w:t>
      </w:r>
    </w:p>
    <w:p w14:paraId="09F48872" w14:textId="77777777" w:rsidR="0088643A" w:rsidRPr="00B82693" w:rsidRDefault="0088643A" w:rsidP="00671B20">
      <w:pPr>
        <w:spacing w:line="0" w:lineRule="atLeast"/>
        <w:ind w:leftChars="235" w:left="564"/>
        <w:rPr>
          <w:rFonts w:ascii="標楷體" w:eastAsia="標楷體" w:hAnsi="標楷體" w:cs="Arial Unicode MS"/>
        </w:rPr>
      </w:pPr>
      <w:r w:rsidRPr="00B82693">
        <w:rPr>
          <w:rFonts w:ascii="標楷體" w:eastAsia="標楷體" w:hAnsi="標楷體" w:cs="Arial Unicode MS"/>
        </w:rPr>
        <w:t>必須確保支付員工的薪資不可低於當地法律規定的最低薪資。</w:t>
      </w:r>
    </w:p>
    <w:p w14:paraId="0523238E" w14:textId="77777777" w:rsidR="0088643A" w:rsidRPr="00B82693" w:rsidRDefault="0088643A" w:rsidP="00671B20">
      <w:pPr>
        <w:pStyle w:val="a3"/>
        <w:numPr>
          <w:ilvl w:val="0"/>
          <w:numId w:val="7"/>
        </w:numPr>
        <w:tabs>
          <w:tab w:val="left" w:pos="567"/>
        </w:tabs>
        <w:spacing w:line="0" w:lineRule="atLeast"/>
        <w:ind w:leftChars="0" w:left="709" w:hanging="425"/>
        <w:rPr>
          <w:rFonts w:ascii="標楷體" w:eastAsia="標楷體" w:hAnsi="標楷體" w:cs="Arial Unicode MS"/>
        </w:rPr>
      </w:pPr>
      <w:r w:rsidRPr="00B82693">
        <w:rPr>
          <w:rFonts w:ascii="標楷體" w:eastAsia="標楷體" w:hAnsi="標楷體" w:cs="Arial Unicode MS"/>
        </w:rPr>
        <w:t xml:space="preserve">工作時間及休息 </w:t>
      </w:r>
    </w:p>
    <w:p w14:paraId="3017C385" w14:textId="77777777" w:rsidR="0088643A" w:rsidRPr="00B82693" w:rsidRDefault="0088643A" w:rsidP="00671B20">
      <w:pPr>
        <w:spacing w:line="0" w:lineRule="atLeast"/>
        <w:ind w:leftChars="235" w:left="564"/>
        <w:rPr>
          <w:rFonts w:ascii="標楷體" w:eastAsia="標楷體" w:hAnsi="標楷體" w:cs="Arial Unicode MS"/>
        </w:rPr>
      </w:pPr>
      <w:r w:rsidRPr="00B82693">
        <w:rPr>
          <w:rFonts w:ascii="標楷體" w:eastAsia="標楷體" w:hAnsi="標楷體" w:cs="Arial Unicode MS"/>
        </w:rPr>
        <w:t xml:space="preserve">必須確保員工的工作時間，遵守當地國家法律的節假日規定。 </w:t>
      </w:r>
    </w:p>
    <w:p w14:paraId="1AB4A35B" w14:textId="77777777" w:rsidR="0088643A" w:rsidRPr="00B82693" w:rsidRDefault="0088643A" w:rsidP="00671B20">
      <w:pPr>
        <w:pStyle w:val="a3"/>
        <w:numPr>
          <w:ilvl w:val="0"/>
          <w:numId w:val="7"/>
        </w:numPr>
        <w:tabs>
          <w:tab w:val="left" w:pos="567"/>
        </w:tabs>
        <w:spacing w:line="0" w:lineRule="atLeast"/>
        <w:ind w:leftChars="0" w:left="709" w:hanging="425"/>
        <w:rPr>
          <w:rFonts w:ascii="標楷體" w:eastAsia="標楷體" w:hAnsi="標楷體" w:cs="Arial Unicode MS"/>
        </w:rPr>
      </w:pPr>
      <w:r w:rsidRPr="00B82693">
        <w:rPr>
          <w:rFonts w:ascii="標楷體" w:eastAsia="標楷體" w:hAnsi="標楷體" w:cs="Arial Unicode MS"/>
        </w:rPr>
        <w:t>騷擾、虐待及處罰</w:t>
      </w:r>
    </w:p>
    <w:p w14:paraId="1EEB8BF7" w14:textId="77777777" w:rsidR="0088643A"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t>必須確保工作場所沒有性騷擾、精神騷擾、身體騷擾、語言騷擾、虐待或恐嚇，並且尊重每一位員工的尊嚴。</w:t>
      </w:r>
    </w:p>
    <w:p w14:paraId="4D653528" w14:textId="77777777" w:rsidR="0088643A" w:rsidRPr="00B82693" w:rsidRDefault="0088643A" w:rsidP="00671B20">
      <w:pPr>
        <w:pStyle w:val="a3"/>
        <w:numPr>
          <w:ilvl w:val="0"/>
          <w:numId w:val="7"/>
        </w:numPr>
        <w:tabs>
          <w:tab w:val="left" w:pos="567"/>
        </w:tabs>
        <w:spacing w:line="0" w:lineRule="atLeast"/>
        <w:ind w:leftChars="0" w:left="709" w:hanging="425"/>
        <w:rPr>
          <w:rFonts w:ascii="標楷體" w:eastAsia="標楷體" w:hAnsi="標楷體" w:cs="Arial Unicode MS"/>
        </w:rPr>
      </w:pPr>
      <w:r w:rsidRPr="00B82693">
        <w:rPr>
          <w:rFonts w:ascii="標楷體" w:eastAsia="標楷體" w:hAnsi="標楷體" w:cs="Arial Unicode MS"/>
        </w:rPr>
        <w:t xml:space="preserve">尊重及不歧視 </w:t>
      </w:r>
    </w:p>
    <w:p w14:paraId="3EB522BD" w14:textId="77777777" w:rsidR="0088643A"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t xml:space="preserve">必須確保員工不會因為性別、性取向、種族、宗教、年齡、殘疾病、婚姻狀況、懷孕、國籍、政見、社會出身及其他方面，而在招募、任用、薪酬、晉升、接受教育訓練、處罰、協議終止、退休，以及其他涉及員工權利福祉之事項受到歧視。 </w:t>
      </w:r>
    </w:p>
    <w:p w14:paraId="46027305" w14:textId="77777777" w:rsidR="00DD23B5" w:rsidRPr="00B82693" w:rsidRDefault="0088643A" w:rsidP="00671B20">
      <w:pPr>
        <w:pStyle w:val="a3"/>
        <w:numPr>
          <w:ilvl w:val="0"/>
          <w:numId w:val="7"/>
        </w:numPr>
        <w:tabs>
          <w:tab w:val="left" w:pos="567"/>
        </w:tabs>
        <w:spacing w:line="0" w:lineRule="atLeast"/>
        <w:ind w:leftChars="0" w:left="709" w:hanging="425"/>
        <w:rPr>
          <w:rFonts w:ascii="標楷體" w:eastAsia="標楷體" w:hAnsi="標楷體" w:cs="Arial Unicode MS"/>
        </w:rPr>
      </w:pPr>
      <w:r w:rsidRPr="00B82693">
        <w:rPr>
          <w:rFonts w:ascii="標楷體" w:eastAsia="標楷體" w:hAnsi="標楷體" w:cs="Arial Unicode MS"/>
        </w:rPr>
        <w:t>女性員工保護</w:t>
      </w:r>
    </w:p>
    <w:p w14:paraId="67034FCB" w14:textId="77777777" w:rsidR="0088643A"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t xml:space="preserve">必須為處於懷孕、分娩、哺乳期的女性員工提供適當且合理的設施及產假。並遵守當地國家法律關於孕期員工的任何工作及時間限制，以及採取合理措施來保護孕期員工免於從事危險工作。 </w:t>
      </w:r>
    </w:p>
    <w:p w14:paraId="05191BCE" w14:textId="77777777" w:rsidR="0088643A" w:rsidRPr="00B82693" w:rsidRDefault="0088643A" w:rsidP="00671B20">
      <w:pPr>
        <w:pStyle w:val="a3"/>
        <w:numPr>
          <w:ilvl w:val="0"/>
          <w:numId w:val="1"/>
        </w:numPr>
        <w:spacing w:before="240" w:line="0" w:lineRule="atLeast"/>
        <w:ind w:leftChars="0"/>
        <w:rPr>
          <w:rFonts w:ascii="標楷體" w:eastAsia="標楷體" w:hAnsi="標楷體" w:cs="Arial Unicode MS"/>
        </w:rPr>
      </w:pPr>
      <w:r w:rsidRPr="00B82693">
        <w:rPr>
          <w:rFonts w:ascii="標楷體" w:eastAsia="標楷體" w:hAnsi="標楷體" w:cs="Arial Unicode MS"/>
        </w:rPr>
        <w:t>健康與安全</w:t>
      </w:r>
    </w:p>
    <w:p w14:paraId="2F4C6762" w14:textId="77777777" w:rsidR="0088643A" w:rsidRPr="00B82693" w:rsidRDefault="0088643A" w:rsidP="00671B20">
      <w:pPr>
        <w:pStyle w:val="a3"/>
        <w:numPr>
          <w:ilvl w:val="0"/>
          <w:numId w:val="8"/>
        </w:numPr>
        <w:tabs>
          <w:tab w:val="left" w:pos="567"/>
        </w:tabs>
        <w:spacing w:line="0" w:lineRule="atLeast"/>
        <w:ind w:leftChars="0" w:hanging="1047"/>
        <w:rPr>
          <w:rFonts w:ascii="標楷體" w:eastAsia="標楷體" w:hAnsi="標楷體" w:cs="Arial Unicode MS"/>
        </w:rPr>
      </w:pPr>
      <w:r w:rsidRPr="00B82693">
        <w:rPr>
          <w:rFonts w:ascii="標楷體" w:eastAsia="標楷體" w:hAnsi="標楷體" w:cs="Arial Unicode MS"/>
        </w:rPr>
        <w:t>職業安全</w:t>
      </w:r>
    </w:p>
    <w:p w14:paraId="2126E143" w14:textId="77777777" w:rsidR="0088643A"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t>必須透過適當的設計、工程和行政管制、防護保養、安全操作程序和持續性的安全知識培訓來控制工作場所的安全以免危及員工。</w:t>
      </w:r>
    </w:p>
    <w:p w14:paraId="6B9C85D4" w14:textId="77777777" w:rsidR="0088643A" w:rsidRPr="00B82693" w:rsidRDefault="0088643A" w:rsidP="00671B20">
      <w:pPr>
        <w:pStyle w:val="a3"/>
        <w:numPr>
          <w:ilvl w:val="0"/>
          <w:numId w:val="8"/>
        </w:numPr>
        <w:tabs>
          <w:tab w:val="left" w:pos="567"/>
        </w:tabs>
        <w:spacing w:line="0" w:lineRule="atLeast"/>
        <w:ind w:leftChars="0" w:hanging="1047"/>
        <w:rPr>
          <w:rFonts w:ascii="標楷體" w:eastAsia="標楷體" w:hAnsi="標楷體" w:cs="Arial Unicode MS"/>
        </w:rPr>
      </w:pPr>
      <w:r w:rsidRPr="00B82693">
        <w:rPr>
          <w:rFonts w:ascii="標楷體" w:eastAsia="標楷體" w:hAnsi="標楷體" w:cs="Arial Unicode MS"/>
        </w:rPr>
        <w:t>工傷和職業病</w:t>
      </w:r>
    </w:p>
    <w:p w14:paraId="6EC70296" w14:textId="77777777" w:rsidR="0088643A"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t>必須制定程序和管理體系來預防、管理、追蹤和報告工傷和職業病，包括但不限於鼓勵員工報告、歸類和記錄工傷和職業病案例、提供必要的治療、調</w:t>
      </w:r>
      <w:r w:rsidRPr="00B82693">
        <w:rPr>
          <w:rFonts w:ascii="標楷體" w:eastAsia="標楷體" w:hAnsi="標楷體" w:cs="Arial Unicode MS" w:hint="eastAsia"/>
        </w:rPr>
        <w:t>查案例並執行改進措施以杜絕類似情況以及協助員工返回工作崗位。</w:t>
      </w:r>
    </w:p>
    <w:p w14:paraId="63BB15F9" w14:textId="77777777" w:rsidR="0088643A" w:rsidRPr="00B82693" w:rsidRDefault="0088643A" w:rsidP="00671B20">
      <w:pPr>
        <w:pStyle w:val="a3"/>
        <w:numPr>
          <w:ilvl w:val="0"/>
          <w:numId w:val="8"/>
        </w:numPr>
        <w:tabs>
          <w:tab w:val="left" w:pos="567"/>
        </w:tabs>
        <w:spacing w:line="0" w:lineRule="atLeast"/>
        <w:ind w:leftChars="0" w:hanging="1047"/>
        <w:rPr>
          <w:rFonts w:ascii="標楷體" w:eastAsia="標楷體" w:hAnsi="標楷體" w:cs="Arial Unicode MS"/>
        </w:rPr>
      </w:pPr>
      <w:r w:rsidRPr="00B82693">
        <w:rPr>
          <w:rFonts w:ascii="標楷體" w:eastAsia="標楷體" w:hAnsi="標楷體" w:cs="Arial Unicode MS"/>
        </w:rPr>
        <w:t xml:space="preserve">緊急應變措施 </w:t>
      </w:r>
    </w:p>
    <w:p w14:paraId="1B46D770" w14:textId="77777777" w:rsidR="0088643A"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t xml:space="preserve">必須確認和評估潛在的緊急情況和事件，並透過實施應急方案和應變程序盡量降低對生命、環境和財產的危害影響，包括但不限於通知和警報系統、員工培訓、消防疏散及演習、適當的火警偵測和滅火設備等。 </w:t>
      </w:r>
    </w:p>
    <w:p w14:paraId="07C39F56" w14:textId="77777777" w:rsidR="0088643A" w:rsidRPr="00B82693" w:rsidRDefault="0088643A" w:rsidP="00671B20">
      <w:pPr>
        <w:pStyle w:val="a3"/>
        <w:numPr>
          <w:ilvl w:val="0"/>
          <w:numId w:val="8"/>
        </w:numPr>
        <w:tabs>
          <w:tab w:val="left" w:pos="567"/>
        </w:tabs>
        <w:spacing w:line="0" w:lineRule="atLeast"/>
        <w:ind w:leftChars="0" w:hanging="1047"/>
        <w:rPr>
          <w:rFonts w:ascii="標楷體" w:eastAsia="標楷體" w:hAnsi="標楷體" w:cs="Arial Unicode MS"/>
        </w:rPr>
      </w:pPr>
      <w:r w:rsidRPr="00B82693">
        <w:rPr>
          <w:rFonts w:ascii="標楷體" w:eastAsia="標楷體" w:hAnsi="標楷體" w:cs="Arial Unicode MS"/>
        </w:rPr>
        <w:t xml:space="preserve">醫療服務及急救 </w:t>
      </w:r>
    </w:p>
    <w:p w14:paraId="76C449D5" w14:textId="77777777" w:rsidR="0088643A"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lastRenderedPageBreak/>
        <w:t>必須制定實施急救程序，包括但不限於培訓急救人員、配備相應的急救箱等設備，並保管急救及醫療記錄。</w:t>
      </w:r>
    </w:p>
    <w:p w14:paraId="635154EE" w14:textId="77777777" w:rsidR="0088643A" w:rsidRPr="00B82693" w:rsidRDefault="0088643A" w:rsidP="00671B20">
      <w:pPr>
        <w:pStyle w:val="a3"/>
        <w:numPr>
          <w:ilvl w:val="0"/>
          <w:numId w:val="8"/>
        </w:numPr>
        <w:tabs>
          <w:tab w:val="left" w:pos="567"/>
        </w:tabs>
        <w:spacing w:line="0" w:lineRule="atLeast"/>
        <w:ind w:leftChars="0" w:hanging="1047"/>
        <w:rPr>
          <w:rFonts w:ascii="標楷體" w:eastAsia="標楷體" w:hAnsi="標楷體" w:cs="Arial Unicode MS"/>
        </w:rPr>
      </w:pPr>
      <w:r w:rsidRPr="00B82693">
        <w:rPr>
          <w:rFonts w:ascii="標楷體" w:eastAsia="標楷體" w:hAnsi="標楷體" w:cs="Arial Unicode MS"/>
        </w:rPr>
        <w:t>工業衛生</w:t>
      </w:r>
    </w:p>
    <w:p w14:paraId="423425AC" w14:textId="77777777" w:rsidR="0088643A"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t>必須辨識、評估並控制因接觸化學、生物及物理作用劑給員工帶來的影響，並透過工程和行政管制避免員工接觸這些作用劑。如相關措施未能有效預防危害，應採用適當個人防護裝備保護員工健康。</w:t>
      </w:r>
    </w:p>
    <w:p w14:paraId="659610F2" w14:textId="77777777" w:rsidR="0088643A" w:rsidRPr="00B82693" w:rsidRDefault="0088643A" w:rsidP="00671B20">
      <w:pPr>
        <w:pStyle w:val="a3"/>
        <w:numPr>
          <w:ilvl w:val="0"/>
          <w:numId w:val="8"/>
        </w:numPr>
        <w:tabs>
          <w:tab w:val="left" w:pos="567"/>
        </w:tabs>
        <w:spacing w:line="0" w:lineRule="atLeast"/>
        <w:ind w:leftChars="0" w:hanging="1047"/>
        <w:rPr>
          <w:rFonts w:ascii="標楷體" w:eastAsia="標楷體" w:hAnsi="標楷體" w:cs="Arial Unicode MS"/>
        </w:rPr>
      </w:pPr>
      <w:r w:rsidRPr="00B82693">
        <w:rPr>
          <w:rFonts w:ascii="標楷體" w:eastAsia="標楷體" w:hAnsi="標楷體" w:cs="Arial Unicode MS"/>
        </w:rPr>
        <w:t xml:space="preserve">機器防護 </w:t>
      </w:r>
    </w:p>
    <w:p w14:paraId="49150F78" w14:textId="77777777" w:rsidR="00F925C2" w:rsidRPr="00B82693" w:rsidRDefault="0088643A" w:rsidP="00671B20">
      <w:pPr>
        <w:spacing w:line="0" w:lineRule="atLeast"/>
        <w:ind w:leftChars="235" w:left="564" w:firstLineChars="1" w:firstLine="2"/>
        <w:rPr>
          <w:rFonts w:ascii="標楷體" w:eastAsia="標楷體" w:hAnsi="標楷體" w:cs="Arial Unicode MS"/>
        </w:rPr>
      </w:pPr>
      <w:r w:rsidRPr="00B82693">
        <w:rPr>
          <w:rFonts w:ascii="標楷體" w:eastAsia="標楷體" w:hAnsi="標楷體" w:cs="Arial Unicode MS"/>
        </w:rPr>
        <w:t xml:space="preserve">必須提供和正確地維護物理防護裝置、連鎖裝置以及屏障，以預防機器對員工可能造成的傷害。 </w:t>
      </w:r>
    </w:p>
    <w:p w14:paraId="47FF5C97" w14:textId="77777777" w:rsidR="00F925C2" w:rsidRPr="00B82693" w:rsidRDefault="0088643A" w:rsidP="00671B20">
      <w:pPr>
        <w:pStyle w:val="a3"/>
        <w:numPr>
          <w:ilvl w:val="0"/>
          <w:numId w:val="1"/>
        </w:numPr>
        <w:spacing w:before="240" w:line="0" w:lineRule="atLeast"/>
        <w:ind w:leftChars="0"/>
        <w:rPr>
          <w:rFonts w:ascii="標楷體" w:eastAsia="標楷體" w:hAnsi="標楷體" w:cs="Arial Unicode MS"/>
        </w:rPr>
      </w:pPr>
      <w:r w:rsidRPr="00B82693">
        <w:rPr>
          <w:rFonts w:ascii="標楷體" w:eastAsia="標楷體" w:hAnsi="標楷體" w:cs="Arial Unicode MS"/>
        </w:rPr>
        <w:t>道德規範</w:t>
      </w:r>
    </w:p>
    <w:p w14:paraId="2A8FD936" w14:textId="77777777" w:rsidR="00F925C2" w:rsidRPr="00B82693" w:rsidRDefault="0088643A" w:rsidP="00671B20">
      <w:pPr>
        <w:pStyle w:val="a3"/>
        <w:numPr>
          <w:ilvl w:val="0"/>
          <w:numId w:val="9"/>
        </w:numPr>
        <w:tabs>
          <w:tab w:val="left" w:pos="567"/>
        </w:tabs>
        <w:spacing w:line="0" w:lineRule="atLeast"/>
        <w:ind w:leftChars="0" w:left="567" w:hanging="283"/>
        <w:rPr>
          <w:rFonts w:ascii="標楷體" w:eastAsia="標楷體" w:hAnsi="標楷體" w:cs="Arial Unicode MS"/>
        </w:rPr>
      </w:pPr>
      <w:r w:rsidRPr="00B82693">
        <w:rPr>
          <w:rFonts w:ascii="標楷體" w:eastAsia="標楷體" w:hAnsi="標楷體" w:cs="Arial Unicode MS"/>
        </w:rPr>
        <w:t xml:space="preserve">願遵循誠信經營守則等規範，包括但不限於廉潔經營、公平交易、公開資訊及避免不正當收益與不實廣告等，並遵守智慧財產權等相關規範。 </w:t>
      </w:r>
    </w:p>
    <w:p w14:paraId="6B8CA39D" w14:textId="77777777" w:rsidR="00F925C2" w:rsidRPr="00B82693" w:rsidRDefault="0088643A" w:rsidP="00671B20">
      <w:pPr>
        <w:pStyle w:val="a3"/>
        <w:numPr>
          <w:ilvl w:val="0"/>
          <w:numId w:val="9"/>
        </w:numPr>
        <w:tabs>
          <w:tab w:val="left" w:pos="567"/>
        </w:tabs>
        <w:spacing w:line="0" w:lineRule="atLeast"/>
        <w:ind w:leftChars="0" w:left="567" w:hanging="283"/>
        <w:rPr>
          <w:rFonts w:ascii="標楷體" w:eastAsia="標楷體" w:hAnsi="標楷體" w:cs="Arial Unicode MS"/>
        </w:rPr>
      </w:pPr>
      <w:r w:rsidRPr="00B82693">
        <w:rPr>
          <w:rFonts w:ascii="標楷體" w:eastAsia="標楷體" w:hAnsi="標楷體" w:cs="Arial Unicode MS"/>
        </w:rPr>
        <w:t>同意本於誠信經營原則，以公開及透明之方式進行交易，並明確拒絕直接或間接提供、承諾、要求或收受任何形式或名義之不正當利益。</w:t>
      </w:r>
    </w:p>
    <w:p w14:paraId="0D6DA451" w14:textId="77777777" w:rsidR="00F925C2" w:rsidRPr="00B82693" w:rsidRDefault="00F925C2" w:rsidP="00111D9F">
      <w:pPr>
        <w:spacing w:beforeLines="150" w:before="540" w:line="0" w:lineRule="atLeast"/>
        <w:rPr>
          <w:rFonts w:ascii="標楷體" w:eastAsia="標楷體" w:hAnsi="標楷體" w:cs="Arial Unicode MS"/>
        </w:rPr>
      </w:pPr>
    </w:p>
    <w:p w14:paraId="334D18A6" w14:textId="77777777" w:rsidR="007F513F" w:rsidRDefault="0088643A" w:rsidP="00671B20">
      <w:pPr>
        <w:spacing w:line="0" w:lineRule="atLeast"/>
        <w:rPr>
          <w:rFonts w:ascii="標楷體" w:eastAsia="標楷體" w:hAnsi="標楷體" w:cs="Arial Unicode MS"/>
        </w:rPr>
      </w:pPr>
      <w:r w:rsidRPr="00B82693">
        <w:rPr>
          <w:rFonts w:ascii="標楷體" w:eastAsia="標楷體" w:hAnsi="標楷體" w:cs="Arial Unicode MS"/>
        </w:rPr>
        <w:t xml:space="preserve">本公司 ____________________________________ </w:t>
      </w:r>
    </w:p>
    <w:p w14:paraId="424568A7" w14:textId="223F7C14" w:rsidR="00F925C2" w:rsidRPr="00B82693" w:rsidRDefault="0088643A" w:rsidP="00671B20">
      <w:pPr>
        <w:spacing w:line="0" w:lineRule="atLeast"/>
        <w:rPr>
          <w:rFonts w:ascii="標楷體" w:eastAsia="標楷體" w:hAnsi="標楷體" w:cs="Arial Unicode MS"/>
        </w:rPr>
      </w:pPr>
      <w:r w:rsidRPr="00B82693">
        <w:rPr>
          <w:rFonts w:ascii="標楷體" w:eastAsia="標楷體" w:hAnsi="標楷體" w:cs="Arial Unicode MS"/>
        </w:rPr>
        <w:t>身為</w:t>
      </w:r>
      <w:r w:rsidR="003C7A00" w:rsidRPr="003C7A00">
        <w:rPr>
          <w:rFonts w:ascii="標楷體" w:eastAsia="標楷體" w:hAnsi="標楷體" w:cs="Arial Unicode MS" w:hint="eastAsia"/>
          <w:lang w:eastAsia="zh-HK"/>
        </w:rPr>
        <w:t>台灣智慧生活網</w:t>
      </w:r>
      <w:r w:rsidR="003C7A00" w:rsidRPr="004D7503">
        <w:rPr>
          <w:rFonts w:ascii="標楷體" w:eastAsia="標楷體" w:hAnsi="標楷體" w:cs="Arial Unicode MS"/>
        </w:rPr>
        <w:t>股份有限公司</w:t>
      </w:r>
      <w:r w:rsidRPr="007F513F">
        <w:rPr>
          <w:rFonts w:ascii="標楷體" w:eastAsia="標楷體" w:hAnsi="標楷體" w:cs="Arial Unicode MS"/>
        </w:rPr>
        <w:t>之供應商(以下稱本供應商)，已詳細閱讀《供應商社會責任承諾書》，並承諾致力遵守上述各項內容，如有違反情事，</w:t>
      </w:r>
      <w:r w:rsidR="003C7A00" w:rsidRPr="003C7A00">
        <w:rPr>
          <w:rFonts w:ascii="標楷體" w:eastAsia="標楷體" w:hAnsi="標楷體" w:cs="Arial Unicode MS" w:hint="eastAsia"/>
          <w:lang w:eastAsia="zh-HK"/>
        </w:rPr>
        <w:t>台灣智慧生活網</w:t>
      </w:r>
      <w:r w:rsidR="003C7A00" w:rsidRPr="004D7503">
        <w:rPr>
          <w:rFonts w:ascii="標楷體" w:eastAsia="標楷體" w:hAnsi="標楷體" w:cs="Arial Unicode MS"/>
        </w:rPr>
        <w:t>股份有限公司</w:t>
      </w:r>
      <w:r w:rsidRPr="007F513F">
        <w:rPr>
          <w:rFonts w:ascii="標楷體" w:eastAsia="標楷體" w:hAnsi="標楷體" w:cs="Arial Unicode MS"/>
        </w:rPr>
        <w:t>有權督促並要求本供應商持續改善，若本供應商屢勸不從，</w:t>
      </w:r>
      <w:r w:rsidR="003C7A00" w:rsidRPr="003C7A00">
        <w:rPr>
          <w:rFonts w:ascii="標楷體" w:eastAsia="標楷體" w:hAnsi="標楷體" w:cs="Arial Unicode MS" w:hint="eastAsia"/>
          <w:lang w:eastAsia="zh-HK"/>
        </w:rPr>
        <w:t>台灣智慧生活網</w:t>
      </w:r>
      <w:r w:rsidR="003C7A00" w:rsidRPr="004D7503">
        <w:rPr>
          <w:rFonts w:ascii="標楷體" w:eastAsia="標楷體" w:hAnsi="標楷體" w:cs="Arial Unicode MS"/>
        </w:rPr>
        <w:t>股份有限公司</w:t>
      </w:r>
      <w:r w:rsidRPr="007F513F">
        <w:rPr>
          <w:rFonts w:ascii="標楷體" w:eastAsia="標楷體" w:hAnsi="標楷體" w:cs="Arial Unicode MS"/>
        </w:rPr>
        <w:t>得自行決定</w:t>
      </w:r>
      <w:r w:rsidRPr="00B82693">
        <w:rPr>
          <w:rFonts w:ascii="標楷體" w:eastAsia="標楷體" w:hAnsi="標楷體" w:cs="Arial Unicode MS"/>
        </w:rPr>
        <w:t xml:space="preserve">終止或拒絕與本供應商繼續合作之約定。 </w:t>
      </w:r>
    </w:p>
    <w:p w14:paraId="7BCCB577" w14:textId="77777777" w:rsidR="00F925C2" w:rsidRDefault="00F925C2" w:rsidP="00671B20">
      <w:pPr>
        <w:spacing w:line="0" w:lineRule="atLeast"/>
        <w:rPr>
          <w:rFonts w:ascii="標楷體" w:eastAsia="標楷體" w:hAnsi="標楷體" w:cs="Arial Unicode MS"/>
        </w:rPr>
      </w:pPr>
    </w:p>
    <w:p w14:paraId="6891F62B" w14:textId="77777777" w:rsidR="00B82693" w:rsidRDefault="00B82693" w:rsidP="00671B20">
      <w:pPr>
        <w:spacing w:line="0" w:lineRule="atLeast"/>
        <w:rPr>
          <w:rFonts w:ascii="標楷體" w:eastAsia="標楷體" w:hAnsi="標楷體" w:cs="Arial Unicode MS"/>
        </w:rPr>
      </w:pPr>
    </w:p>
    <w:p w14:paraId="38D9FEFC" w14:textId="77777777" w:rsidR="00B82693" w:rsidRPr="003C7A00" w:rsidRDefault="00B82693" w:rsidP="00671B20">
      <w:pPr>
        <w:spacing w:line="0" w:lineRule="atLeast"/>
        <w:rPr>
          <w:rFonts w:ascii="標楷體" w:eastAsia="標楷體" w:hAnsi="標楷體" w:cs="Arial Unicode MS"/>
        </w:rPr>
      </w:pPr>
    </w:p>
    <w:p w14:paraId="1E17E303" w14:textId="77777777" w:rsidR="00B82693" w:rsidRPr="00B82693" w:rsidRDefault="00B82693" w:rsidP="00671B20">
      <w:pPr>
        <w:spacing w:line="0" w:lineRule="atLeast"/>
        <w:rPr>
          <w:rFonts w:ascii="標楷體" w:eastAsia="標楷體" w:hAnsi="標楷體" w:cs="Arial Unicode MS"/>
        </w:rPr>
      </w:pPr>
    </w:p>
    <w:p w14:paraId="429DB560" w14:textId="6F9E89E9" w:rsidR="00B82693" w:rsidRDefault="0088643A" w:rsidP="00B82693">
      <w:pPr>
        <w:spacing w:line="0" w:lineRule="atLeast"/>
        <w:ind w:firstLineChars="1400" w:firstLine="3360"/>
        <w:rPr>
          <w:rFonts w:ascii="標楷體" w:eastAsia="標楷體" w:hAnsi="標楷體" w:cs="Arial Unicode MS"/>
        </w:rPr>
      </w:pPr>
      <w:r w:rsidRPr="00B82693">
        <w:rPr>
          <w:rFonts w:ascii="標楷體" w:eastAsia="標楷體" w:hAnsi="標楷體" w:cs="Arial Unicode MS"/>
        </w:rPr>
        <w:t>統一編號：_________</w:t>
      </w:r>
      <w:r w:rsidR="00B82693" w:rsidRPr="00B82693">
        <w:rPr>
          <w:rFonts w:ascii="標楷體" w:eastAsia="標楷體" w:hAnsi="標楷體" w:cs="Arial Unicode MS"/>
        </w:rPr>
        <w:t>________</w:t>
      </w:r>
      <w:r w:rsidR="00B82693">
        <w:rPr>
          <w:rFonts w:ascii="標楷體" w:eastAsia="標楷體" w:hAnsi="標楷體" w:cs="Arial Unicode MS"/>
        </w:rPr>
        <w:t>_</w:t>
      </w:r>
      <w:r w:rsidR="00B82693" w:rsidRPr="00B82693">
        <w:rPr>
          <w:rFonts w:ascii="標楷體" w:eastAsia="標楷體" w:hAnsi="標楷體" w:cs="Arial Unicode MS"/>
        </w:rPr>
        <w:t>_</w:t>
      </w:r>
      <w:r w:rsidRPr="00B82693">
        <w:rPr>
          <w:rFonts w:ascii="標楷體" w:eastAsia="標楷體" w:hAnsi="標楷體" w:cs="Arial Unicode MS"/>
        </w:rPr>
        <w:t>_______</w:t>
      </w:r>
    </w:p>
    <w:p w14:paraId="6A80641A" w14:textId="2A0D3969" w:rsidR="00F925C2" w:rsidRPr="00B82693" w:rsidRDefault="0088643A" w:rsidP="00B82693">
      <w:pPr>
        <w:spacing w:beforeLines="200" w:before="720" w:line="0" w:lineRule="atLeast"/>
        <w:ind w:firstLineChars="1400" w:firstLine="3360"/>
        <w:rPr>
          <w:rFonts w:ascii="標楷體" w:eastAsia="標楷體" w:hAnsi="標楷體" w:cs="Arial Unicode MS"/>
        </w:rPr>
      </w:pPr>
      <w:r w:rsidRPr="00B82693">
        <w:rPr>
          <w:rFonts w:ascii="標楷體" w:eastAsia="標楷體" w:hAnsi="標楷體" w:cs="Arial Unicode MS"/>
        </w:rPr>
        <w:t>立</w:t>
      </w:r>
      <w:r w:rsidR="00B82693">
        <w:rPr>
          <w:rFonts w:ascii="標楷體" w:eastAsia="標楷體" w:hAnsi="標楷體" w:cs="Arial Unicode MS" w:hint="eastAsia"/>
        </w:rPr>
        <w:t xml:space="preserve"> </w:t>
      </w:r>
      <w:r w:rsidRPr="00B82693">
        <w:rPr>
          <w:rFonts w:ascii="標楷體" w:eastAsia="標楷體" w:hAnsi="標楷體" w:cs="Arial Unicode MS"/>
        </w:rPr>
        <w:t>書 人</w:t>
      </w:r>
      <w:r w:rsidR="00B82693">
        <w:rPr>
          <w:rFonts w:ascii="標楷體" w:eastAsia="標楷體" w:hAnsi="標楷體" w:cs="Arial Unicode MS"/>
        </w:rPr>
        <w:t>：</w:t>
      </w:r>
      <w:r w:rsidRPr="00B82693">
        <w:rPr>
          <w:rFonts w:ascii="標楷體" w:eastAsia="標楷體" w:hAnsi="標楷體" w:cs="Arial Unicode MS"/>
        </w:rPr>
        <w:t>_________</w:t>
      </w:r>
      <w:r w:rsidR="00B82693" w:rsidRPr="00B82693">
        <w:rPr>
          <w:rFonts w:ascii="標楷體" w:eastAsia="標楷體" w:hAnsi="標楷體" w:cs="Arial Unicode MS"/>
        </w:rPr>
        <w:t>________</w:t>
      </w:r>
      <w:r w:rsidR="00B82693">
        <w:rPr>
          <w:rFonts w:ascii="標楷體" w:eastAsia="標楷體" w:hAnsi="標楷體" w:cs="Arial Unicode MS"/>
        </w:rPr>
        <w:t>___</w:t>
      </w:r>
      <w:r w:rsidRPr="00B82693">
        <w:rPr>
          <w:rFonts w:ascii="標楷體" w:eastAsia="標楷體" w:hAnsi="標楷體" w:cs="Arial Unicode MS"/>
        </w:rPr>
        <w:t>____</w:t>
      </w:r>
      <w:r w:rsidR="00B82693" w:rsidRPr="00B82693">
        <w:rPr>
          <w:rFonts w:ascii="標楷體" w:eastAsia="標楷體" w:hAnsi="標楷體" w:cs="Arial Unicode MS"/>
        </w:rPr>
        <w:t>_</w:t>
      </w:r>
      <w:r w:rsidRPr="00B82693">
        <w:rPr>
          <w:rFonts w:ascii="標楷體" w:eastAsia="標楷體" w:hAnsi="標楷體" w:cs="Arial Unicode MS"/>
        </w:rPr>
        <w:t xml:space="preserve">_ (簽名或蓋章) </w:t>
      </w:r>
    </w:p>
    <w:p w14:paraId="7471036D" w14:textId="77777777" w:rsidR="00E2634C" w:rsidRDefault="0088643A" w:rsidP="00B82693">
      <w:pPr>
        <w:spacing w:beforeLines="250" w:before="900" w:line="0" w:lineRule="atLeast"/>
        <w:rPr>
          <w:rFonts w:ascii="標楷體" w:eastAsia="標楷體" w:hAnsi="標楷體" w:cs="Arial Unicode MS"/>
        </w:rPr>
      </w:pPr>
      <w:r w:rsidRPr="00B82693">
        <w:rPr>
          <w:rFonts w:ascii="標楷體" w:eastAsia="標楷體" w:hAnsi="標楷體" w:cs="Arial Unicode MS"/>
        </w:rPr>
        <w:t xml:space="preserve">此致 </w:t>
      </w:r>
    </w:p>
    <w:p w14:paraId="2E9D5E44" w14:textId="0EC3A1A0" w:rsidR="00E2634C" w:rsidRDefault="003C7A00" w:rsidP="00B82693">
      <w:pPr>
        <w:spacing w:beforeLines="100" w:before="360" w:line="0" w:lineRule="atLeast"/>
        <w:rPr>
          <w:rFonts w:ascii="標楷體" w:eastAsia="標楷體" w:hAnsi="標楷體" w:cs="Arial Unicode MS"/>
        </w:rPr>
      </w:pPr>
      <w:r w:rsidRPr="003C7A00">
        <w:rPr>
          <w:rFonts w:ascii="標楷體" w:eastAsia="標楷體" w:hAnsi="標楷體" w:cs="Arial Unicode MS" w:hint="eastAsia"/>
          <w:lang w:eastAsia="zh-HK"/>
        </w:rPr>
        <w:t>台灣智慧生活網</w:t>
      </w:r>
      <w:r w:rsidRPr="004D7503">
        <w:rPr>
          <w:rFonts w:ascii="標楷體" w:eastAsia="標楷體" w:hAnsi="標楷體" w:cs="Arial Unicode MS"/>
        </w:rPr>
        <w:t>股份有限公司</w:t>
      </w:r>
      <w:r w:rsidR="0088643A" w:rsidRPr="00B82693">
        <w:rPr>
          <w:rFonts w:ascii="標楷體" w:eastAsia="標楷體" w:hAnsi="標楷體" w:cs="Arial Unicode MS"/>
        </w:rPr>
        <w:t xml:space="preserve"> </w:t>
      </w:r>
    </w:p>
    <w:p w14:paraId="455BF3EA" w14:textId="14657386" w:rsidR="001A5140" w:rsidRPr="0088643A" w:rsidRDefault="00B82693" w:rsidP="00111D9F">
      <w:pPr>
        <w:spacing w:beforeLines="400" w:before="1440" w:line="0" w:lineRule="atLeast"/>
        <w:jc w:val="center"/>
        <w:rPr>
          <w:rFonts w:ascii="標楷體" w:eastAsia="標楷體" w:hAnsi="標楷體"/>
        </w:rPr>
      </w:pPr>
      <w:r>
        <w:rPr>
          <w:rFonts w:ascii="標楷體" w:eastAsia="標楷體" w:hAnsi="標楷體" w:cs="Arial Unicode MS" w:hint="eastAsia"/>
        </w:rPr>
        <w:t xml:space="preserve">中  </w:t>
      </w:r>
      <w:r w:rsidR="00E2634C" w:rsidRPr="00B82693">
        <w:rPr>
          <w:rFonts w:ascii="標楷體" w:eastAsia="標楷體" w:hAnsi="標楷體" w:cs="Arial Unicode MS" w:hint="eastAsia"/>
          <w:lang w:eastAsia="zh-HK"/>
        </w:rPr>
        <w:t>華</w:t>
      </w:r>
      <w:r>
        <w:rPr>
          <w:rFonts w:ascii="標楷體" w:eastAsia="標楷體" w:hAnsi="標楷體" w:cs="Arial Unicode MS" w:hint="eastAsia"/>
        </w:rPr>
        <w:t xml:space="preserve">  </w:t>
      </w:r>
      <w:r w:rsidR="00E2634C" w:rsidRPr="00B82693">
        <w:rPr>
          <w:rFonts w:ascii="標楷體" w:eastAsia="標楷體" w:hAnsi="標楷體" w:cs="Arial Unicode MS" w:hint="eastAsia"/>
          <w:lang w:eastAsia="zh-HK"/>
        </w:rPr>
        <w:t>民</w:t>
      </w:r>
      <w:r>
        <w:rPr>
          <w:rFonts w:ascii="標楷體" w:eastAsia="標楷體" w:hAnsi="標楷體" w:cs="Arial Unicode MS" w:hint="eastAsia"/>
        </w:rPr>
        <w:t xml:space="preserve">  </w:t>
      </w:r>
      <w:r w:rsidR="00E2634C" w:rsidRPr="00B82693">
        <w:rPr>
          <w:rFonts w:ascii="標楷體" w:eastAsia="標楷體" w:hAnsi="標楷體" w:cs="Arial Unicode MS" w:hint="eastAsia"/>
          <w:lang w:eastAsia="zh-HK"/>
        </w:rPr>
        <w:t>國</w:t>
      </w:r>
      <w:r w:rsidR="0088643A" w:rsidRPr="00B82693">
        <w:rPr>
          <w:rFonts w:ascii="標楷體" w:eastAsia="標楷體" w:hAnsi="標楷體" w:cs="Arial Unicode MS"/>
        </w:rPr>
        <w:t xml:space="preserve"> </w:t>
      </w:r>
      <w:r>
        <w:rPr>
          <w:rFonts w:ascii="標楷體" w:eastAsia="標楷體" w:hAnsi="標楷體" w:cs="Arial Unicode MS" w:hint="eastAsia"/>
        </w:rPr>
        <w:t xml:space="preserve">             </w:t>
      </w:r>
      <w:r w:rsidR="0088643A" w:rsidRPr="00B82693">
        <w:rPr>
          <w:rFonts w:ascii="標楷體" w:eastAsia="標楷體" w:hAnsi="標楷體" w:cs="Arial Unicode MS"/>
        </w:rPr>
        <w:t>年</w:t>
      </w:r>
      <w:r>
        <w:rPr>
          <w:rFonts w:ascii="標楷體" w:eastAsia="標楷體" w:hAnsi="標楷體" w:cs="Arial Unicode MS" w:hint="eastAsia"/>
        </w:rPr>
        <w:t xml:space="preserve">             </w:t>
      </w:r>
      <w:r w:rsidR="0088643A" w:rsidRPr="00B82693">
        <w:rPr>
          <w:rFonts w:ascii="標楷體" w:eastAsia="標楷體" w:hAnsi="標楷體" w:cs="Arial Unicode MS"/>
        </w:rPr>
        <w:t xml:space="preserve"> 月</w:t>
      </w:r>
      <w:r>
        <w:rPr>
          <w:rFonts w:ascii="標楷體" w:eastAsia="標楷體" w:hAnsi="標楷體" w:cs="Arial Unicode MS" w:hint="eastAsia"/>
        </w:rPr>
        <w:t xml:space="preserve">   </w:t>
      </w:r>
      <w:bookmarkStart w:id="0" w:name="_GoBack"/>
      <w:bookmarkEnd w:id="0"/>
      <w:r>
        <w:rPr>
          <w:rFonts w:ascii="標楷體" w:eastAsia="標楷體" w:hAnsi="標楷體" w:cs="Arial Unicode MS" w:hint="eastAsia"/>
        </w:rPr>
        <w:t xml:space="preserve">          </w:t>
      </w:r>
      <w:r w:rsidR="0088643A" w:rsidRPr="00B82693">
        <w:rPr>
          <w:rFonts w:ascii="標楷體" w:eastAsia="標楷體" w:hAnsi="標楷體" w:cs="Arial Unicode MS"/>
        </w:rPr>
        <w:t xml:space="preserve"> 日</w:t>
      </w:r>
    </w:p>
    <w:sectPr w:rsidR="001A5140" w:rsidRPr="0088643A" w:rsidSect="007F513F">
      <w:headerReference w:type="default" r:id="rId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31E70" w14:textId="77777777" w:rsidR="00F969AF" w:rsidRDefault="00F969AF" w:rsidP="00671B20">
      <w:r>
        <w:separator/>
      </w:r>
    </w:p>
  </w:endnote>
  <w:endnote w:type="continuationSeparator" w:id="0">
    <w:p w14:paraId="10D03DC5" w14:textId="77777777" w:rsidR="00F969AF" w:rsidRDefault="00F969AF" w:rsidP="0067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1CEEA" w14:textId="77777777" w:rsidR="00F969AF" w:rsidRDefault="00F969AF" w:rsidP="00671B20">
      <w:r>
        <w:separator/>
      </w:r>
    </w:p>
  </w:footnote>
  <w:footnote w:type="continuationSeparator" w:id="0">
    <w:p w14:paraId="37F18552" w14:textId="77777777" w:rsidR="00F969AF" w:rsidRDefault="00F969AF" w:rsidP="00671B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4351" w14:textId="77777777" w:rsidR="00671B20" w:rsidRDefault="00671B20" w:rsidP="00671B20">
    <w:pPr>
      <w:pStyle w:val="a4"/>
      <w:jc w:val="right"/>
    </w:pPr>
    <w:r>
      <w:rPr>
        <w:noProof/>
      </w:rPr>
      <w:drawing>
        <wp:inline distT="0" distB="0" distL="0" distR="0" wp14:anchorId="2BD5CE89" wp14:editId="44611B5D">
          <wp:extent cx="1491343" cy="649632"/>
          <wp:effectExtent l="0" t="0" r="0" b="0"/>
          <wp:docPr id="1" name="圖片 1" descr="C:\Users\mandy.chiang\Desktop\556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dy.chiang\Desktop\5568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819" cy="650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93679"/>
    <w:multiLevelType w:val="hybridMultilevel"/>
    <w:tmpl w:val="0608E270"/>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7817D5"/>
    <w:multiLevelType w:val="hybridMultilevel"/>
    <w:tmpl w:val="9BAEF5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317928"/>
    <w:multiLevelType w:val="hybridMultilevel"/>
    <w:tmpl w:val="3294BC78"/>
    <w:lvl w:ilvl="0" w:tplc="843C836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nsid w:val="276878BF"/>
    <w:multiLevelType w:val="hybridMultilevel"/>
    <w:tmpl w:val="0608E270"/>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F45189F"/>
    <w:multiLevelType w:val="hybridMultilevel"/>
    <w:tmpl w:val="0608E270"/>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50F1CB0"/>
    <w:multiLevelType w:val="hybridMultilevel"/>
    <w:tmpl w:val="0608E270"/>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3A33D5F"/>
    <w:multiLevelType w:val="hybridMultilevel"/>
    <w:tmpl w:val="C13CC040"/>
    <w:lvl w:ilvl="0" w:tplc="5F56D0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7AD33AD5"/>
    <w:multiLevelType w:val="hybridMultilevel"/>
    <w:tmpl w:val="97145CB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FD96C4B"/>
    <w:multiLevelType w:val="hybridMultilevel"/>
    <w:tmpl w:val="0608E270"/>
    <w:lvl w:ilvl="0" w:tplc="0409000F">
      <w:start w:val="1"/>
      <w:numFmt w:val="decimal"/>
      <w:lvlText w:val="%1."/>
      <w:lvlJc w:val="left"/>
      <w:pPr>
        <w:ind w:left="133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0"/>
  </w:num>
  <w:num w:numId="4">
    <w:abstractNumId w:val="6"/>
  </w:num>
  <w:num w:numId="5">
    <w:abstractNumId w:val="2"/>
  </w:num>
  <w:num w:numId="6">
    <w:abstractNumId w:val="4"/>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3A"/>
    <w:rsid w:val="00111D9F"/>
    <w:rsid w:val="001A5140"/>
    <w:rsid w:val="001D674B"/>
    <w:rsid w:val="002F1110"/>
    <w:rsid w:val="003C7A00"/>
    <w:rsid w:val="004D7503"/>
    <w:rsid w:val="005845BD"/>
    <w:rsid w:val="00632FBE"/>
    <w:rsid w:val="00671B20"/>
    <w:rsid w:val="007F513F"/>
    <w:rsid w:val="0088643A"/>
    <w:rsid w:val="00A73BC7"/>
    <w:rsid w:val="00B82693"/>
    <w:rsid w:val="00D53364"/>
    <w:rsid w:val="00DD23B5"/>
    <w:rsid w:val="00E2634C"/>
    <w:rsid w:val="00F24456"/>
    <w:rsid w:val="00F925C2"/>
    <w:rsid w:val="00F969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B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34C"/>
    <w:pPr>
      <w:ind w:leftChars="200" w:left="480"/>
    </w:pPr>
  </w:style>
  <w:style w:type="paragraph" w:styleId="a4">
    <w:name w:val="header"/>
    <w:basedOn w:val="a"/>
    <w:link w:val="a5"/>
    <w:uiPriority w:val="99"/>
    <w:unhideWhenUsed/>
    <w:rsid w:val="00671B20"/>
    <w:pPr>
      <w:tabs>
        <w:tab w:val="center" w:pos="4153"/>
        <w:tab w:val="right" w:pos="8306"/>
      </w:tabs>
      <w:snapToGrid w:val="0"/>
    </w:pPr>
    <w:rPr>
      <w:sz w:val="20"/>
      <w:szCs w:val="20"/>
    </w:rPr>
  </w:style>
  <w:style w:type="character" w:customStyle="1" w:styleId="a5">
    <w:name w:val="頁首 字元"/>
    <w:basedOn w:val="a0"/>
    <w:link w:val="a4"/>
    <w:uiPriority w:val="99"/>
    <w:rsid w:val="00671B20"/>
    <w:rPr>
      <w:sz w:val="20"/>
      <w:szCs w:val="20"/>
    </w:rPr>
  </w:style>
  <w:style w:type="paragraph" w:styleId="a6">
    <w:name w:val="footer"/>
    <w:basedOn w:val="a"/>
    <w:link w:val="a7"/>
    <w:uiPriority w:val="99"/>
    <w:unhideWhenUsed/>
    <w:rsid w:val="00671B20"/>
    <w:pPr>
      <w:tabs>
        <w:tab w:val="center" w:pos="4153"/>
        <w:tab w:val="right" w:pos="8306"/>
      </w:tabs>
      <w:snapToGrid w:val="0"/>
    </w:pPr>
    <w:rPr>
      <w:sz w:val="20"/>
      <w:szCs w:val="20"/>
    </w:rPr>
  </w:style>
  <w:style w:type="character" w:customStyle="1" w:styleId="a7">
    <w:name w:val="頁尾 字元"/>
    <w:basedOn w:val="a0"/>
    <w:link w:val="a6"/>
    <w:uiPriority w:val="99"/>
    <w:rsid w:val="00671B20"/>
    <w:rPr>
      <w:sz w:val="20"/>
      <w:szCs w:val="20"/>
    </w:rPr>
  </w:style>
  <w:style w:type="paragraph" w:styleId="a8">
    <w:name w:val="Balloon Text"/>
    <w:basedOn w:val="a"/>
    <w:link w:val="a9"/>
    <w:uiPriority w:val="99"/>
    <w:semiHidden/>
    <w:unhideWhenUsed/>
    <w:rsid w:val="00671B2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71B2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34C"/>
    <w:pPr>
      <w:ind w:leftChars="200" w:left="480"/>
    </w:pPr>
  </w:style>
  <w:style w:type="paragraph" w:styleId="a4">
    <w:name w:val="header"/>
    <w:basedOn w:val="a"/>
    <w:link w:val="a5"/>
    <w:uiPriority w:val="99"/>
    <w:unhideWhenUsed/>
    <w:rsid w:val="00671B20"/>
    <w:pPr>
      <w:tabs>
        <w:tab w:val="center" w:pos="4153"/>
        <w:tab w:val="right" w:pos="8306"/>
      </w:tabs>
      <w:snapToGrid w:val="0"/>
    </w:pPr>
    <w:rPr>
      <w:sz w:val="20"/>
      <w:szCs w:val="20"/>
    </w:rPr>
  </w:style>
  <w:style w:type="character" w:customStyle="1" w:styleId="a5">
    <w:name w:val="頁首 字元"/>
    <w:basedOn w:val="a0"/>
    <w:link w:val="a4"/>
    <w:uiPriority w:val="99"/>
    <w:rsid w:val="00671B20"/>
    <w:rPr>
      <w:sz w:val="20"/>
      <w:szCs w:val="20"/>
    </w:rPr>
  </w:style>
  <w:style w:type="paragraph" w:styleId="a6">
    <w:name w:val="footer"/>
    <w:basedOn w:val="a"/>
    <w:link w:val="a7"/>
    <w:uiPriority w:val="99"/>
    <w:unhideWhenUsed/>
    <w:rsid w:val="00671B20"/>
    <w:pPr>
      <w:tabs>
        <w:tab w:val="center" w:pos="4153"/>
        <w:tab w:val="right" w:pos="8306"/>
      </w:tabs>
      <w:snapToGrid w:val="0"/>
    </w:pPr>
    <w:rPr>
      <w:sz w:val="20"/>
      <w:szCs w:val="20"/>
    </w:rPr>
  </w:style>
  <w:style w:type="character" w:customStyle="1" w:styleId="a7">
    <w:name w:val="頁尾 字元"/>
    <w:basedOn w:val="a0"/>
    <w:link w:val="a6"/>
    <w:uiPriority w:val="99"/>
    <w:rsid w:val="00671B20"/>
    <w:rPr>
      <w:sz w:val="20"/>
      <w:szCs w:val="20"/>
    </w:rPr>
  </w:style>
  <w:style w:type="paragraph" w:styleId="a8">
    <w:name w:val="Balloon Text"/>
    <w:basedOn w:val="a"/>
    <w:link w:val="a9"/>
    <w:uiPriority w:val="99"/>
    <w:semiHidden/>
    <w:unhideWhenUsed/>
    <w:rsid w:val="00671B2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71B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94F3-981D-4376-9B98-85154501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397</Words>
  <Characters>2263</Characters>
  <Application>Microsoft Office Word</Application>
  <DocSecurity>0</DocSecurity>
  <Lines>18</Lines>
  <Paragraphs>5</Paragraphs>
  <ScaleCrop>false</ScaleCrop>
  <Company>HP Inc.</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風險管理處-蔣慧珍</dc:creator>
  <cp:lastModifiedBy>管理處-採購部-蕭哲旻</cp:lastModifiedBy>
  <cp:revision>7</cp:revision>
  <dcterms:created xsi:type="dcterms:W3CDTF">2024-07-10T01:47:00Z</dcterms:created>
  <dcterms:modified xsi:type="dcterms:W3CDTF">2024-07-10T02:54:00Z</dcterms:modified>
</cp:coreProperties>
</file>